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600" w:lineRule="atLeast"/>
        <w:ind w:left="0" w:right="0"/>
        <w:jc w:val="center"/>
        <w:rPr>
          <w:rFonts w:ascii="helvetica" w:hAnsi="helvetica" w:eastAsia="helvetica" w:cs="helvetica"/>
          <w:color w:val="333333"/>
          <w:spacing w:val="15"/>
          <w:sz w:val="36"/>
          <w:szCs w:val="36"/>
        </w:rPr>
      </w:pPr>
      <w:r>
        <w:rPr>
          <w:rFonts w:hint="default" w:ascii="helvetica" w:hAnsi="helvetica" w:eastAsia="helvetica" w:cs="helvetica"/>
          <w:color w:val="333333"/>
          <w:spacing w:val="15"/>
          <w:kern w:val="0"/>
          <w:sz w:val="36"/>
          <w:szCs w:val="36"/>
          <w:bdr w:val="none" w:color="auto" w:sz="0" w:space="0"/>
          <w:shd w:val="clear" w:fill="FFFFFF"/>
          <w:lang w:val="en-US" w:eastAsia="zh-CN" w:bidi="ar"/>
        </w:rPr>
        <w:t>《新型储能电站建设工程质量监督大纲》政策解读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00" w:afterAutospacing="0" w:line="450" w:lineRule="atLeast"/>
        <w:ind w:left="0" w:right="0"/>
        <w:jc w:val="center"/>
        <w:rPr>
          <w:rFonts w:hint="eastAsia" w:ascii="楷体_GB2312" w:hAnsi="楷体_GB2312" w:eastAsia="楷体_GB2312" w:cs="楷体_GB2312"/>
          <w:color w:val="999999"/>
          <w:sz w:val="32"/>
          <w:szCs w:val="32"/>
        </w:rPr>
      </w:pPr>
      <w:r>
        <w:rPr>
          <w:rFonts w:hint="eastAsia" w:ascii="楷体_GB2312" w:hAnsi="楷体_GB2312" w:eastAsia="楷体_GB2312" w:cs="楷体_GB2312"/>
          <w:color w:val="999999"/>
          <w:kern w:val="0"/>
          <w:sz w:val="32"/>
          <w:szCs w:val="32"/>
          <w:bdr w:val="none" w:color="auto" w:sz="0" w:space="0"/>
          <w:shd w:val="clear" w:fill="FFFFFF"/>
          <w:lang w:val="en-US" w:eastAsia="zh-CN" w:bidi="ar"/>
        </w:rPr>
        <w:t>来源: 国家能源局</w:t>
      </w:r>
      <w:bookmarkStart w:id="0" w:name="_GoBack"/>
      <w:bookmarkEnd w:id="0"/>
    </w:p>
    <w:p>
      <w:pPr>
        <w:pStyle w:val="2"/>
        <w:keepNext w:val="0"/>
        <w:keepLines w:val="0"/>
        <w:widowControl/>
        <w:suppressLineNumbers w:val="0"/>
        <w:spacing w:before="452" w:beforeAutospacing="0" w:after="300" w:afterAutospacing="0" w:line="480" w:lineRule="atLeast"/>
        <w:ind w:left="0" w:right="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fill="FFFFFF"/>
        </w:rPr>
        <w:t>为进一步加强和规范新型储能电站建设工程的质量监督管理工作，国家能源局于近期印发了《新型储能电站建设工程质量监督大纲》（以下简称《储能大纲》），现就文件出台背景、主要内容和有关情况说明等介绍如下。</w:t>
      </w:r>
    </w:p>
    <w:p>
      <w:pPr>
        <w:pStyle w:val="2"/>
        <w:keepNext w:val="0"/>
        <w:keepLines w:val="0"/>
        <w:widowControl/>
        <w:suppressLineNumbers w:val="0"/>
        <w:spacing w:before="452" w:beforeAutospacing="0" w:after="300" w:afterAutospacing="0" w:line="480" w:lineRule="atLeast"/>
        <w:ind w:left="0" w:right="0"/>
        <w:jc w:val="both"/>
        <w:rPr>
          <w:rFonts w:hint="eastAsia" w:ascii="黑体" w:hAnsi="黑体" w:eastAsia="黑体" w:cs="黑体"/>
          <w:b w:val="0"/>
          <w:bCs w:val="0"/>
          <w:sz w:val="32"/>
          <w:szCs w:val="32"/>
        </w:rPr>
      </w:pPr>
      <w:r>
        <w:rPr>
          <w:rFonts w:hint="eastAsia" w:ascii="黑体" w:hAnsi="黑体" w:eastAsia="黑体" w:cs="黑体"/>
          <w:b w:val="0"/>
          <w:bCs w:val="0"/>
          <w:color w:val="333333"/>
          <w:sz w:val="32"/>
          <w:szCs w:val="32"/>
          <w:shd w:val="clear" w:fill="FFFFFF"/>
        </w:rPr>
        <w:t>  </w:t>
      </w:r>
      <w:r>
        <w:rPr>
          <w:rStyle w:val="5"/>
          <w:rFonts w:hint="eastAsia" w:ascii="黑体" w:hAnsi="黑体" w:eastAsia="黑体" w:cs="黑体"/>
          <w:b w:val="0"/>
          <w:bCs w:val="0"/>
          <w:color w:val="333333"/>
          <w:sz w:val="32"/>
          <w:szCs w:val="32"/>
          <w:shd w:val="clear" w:fill="FFFFFF"/>
        </w:rPr>
        <w:t>一、出台背景</w:t>
      </w:r>
    </w:p>
    <w:p>
      <w:pPr>
        <w:pStyle w:val="2"/>
        <w:keepNext w:val="0"/>
        <w:keepLines w:val="0"/>
        <w:widowControl/>
        <w:suppressLineNumbers w:val="0"/>
        <w:spacing w:before="452" w:beforeAutospacing="0" w:after="300" w:afterAutospacing="0" w:line="480" w:lineRule="atLeast"/>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fill="FFFFFF"/>
        </w:rPr>
        <w:t>  电力建设工程质量监督大纲（以下简称质监大纲）既是电力质监机构开展质量监督工作的主要依据，也是各工程参建单位应当遵守的重要制度。近年来，国家能源局先后印发了火电、输变电、陆上风电、光伏发电、水电、海上风电、核电常规岛、生物质发电、太阳能热发电等质监大纲，在预防和减少质量安全事故、保障电力工程质量、提升质量监督效能等方面发挥了重要作用。</w:t>
      </w:r>
    </w:p>
    <w:p>
      <w:pPr>
        <w:pStyle w:val="2"/>
        <w:keepNext w:val="0"/>
        <w:keepLines w:val="0"/>
        <w:widowControl/>
        <w:suppressLineNumbers w:val="0"/>
        <w:spacing w:before="452" w:beforeAutospacing="0" w:after="300" w:afterAutospacing="0" w:line="480" w:lineRule="atLeast"/>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fill="FFFFFF"/>
        </w:rPr>
        <w:t>  “十四五”规划实施以来，在政策引导和市场需求双轮驱动下，新型储能从试点示范转向规模化商用，进入快速发展阶段。截至2025年底，我国新型储能装机规模达到约1.36亿千瓦，较2024年底增长约84%，需要相应出台针对新型储能建设工程的质监大纲。结合在新型储能建设工程质量监督过程中的不断探索和积累经验，近年来，电力质监机构总体掌握了相关类型工程质量管控薄弱环节和易发多发问题，制定《储能大纲》可进一步固化相关质量监督经验，规范质量监督工作，促进工程建设质量水平持续提升。</w:t>
      </w:r>
    </w:p>
    <w:p>
      <w:pPr>
        <w:pStyle w:val="2"/>
        <w:keepNext w:val="0"/>
        <w:keepLines w:val="0"/>
        <w:widowControl/>
        <w:suppressLineNumbers w:val="0"/>
        <w:spacing w:before="452" w:beforeAutospacing="0" w:after="300" w:afterAutospacing="0" w:line="480" w:lineRule="atLeast"/>
        <w:ind w:left="0" w:right="0"/>
        <w:jc w:val="both"/>
        <w:rPr>
          <w:rStyle w:val="5"/>
          <w:rFonts w:hint="eastAsia" w:ascii="黑体" w:hAnsi="黑体" w:eastAsia="黑体" w:cs="黑体"/>
          <w:b w:val="0"/>
          <w:bCs w:val="0"/>
          <w:color w:val="333333"/>
          <w:sz w:val="32"/>
          <w:szCs w:val="32"/>
          <w:shd w:val="clear" w:fill="FFFFFF"/>
        </w:rPr>
      </w:pPr>
      <w:r>
        <w:rPr>
          <w:rStyle w:val="5"/>
          <w:rFonts w:hint="eastAsia" w:ascii="黑体" w:hAnsi="黑体" w:eastAsia="黑体" w:cs="黑体"/>
          <w:b w:val="0"/>
          <w:bCs w:val="0"/>
          <w:color w:val="333333"/>
          <w:sz w:val="32"/>
          <w:szCs w:val="32"/>
          <w:shd w:val="clear" w:fill="FFFFFF"/>
        </w:rPr>
        <w:t>  二、主要内容</w:t>
      </w:r>
    </w:p>
    <w:p>
      <w:pPr>
        <w:pStyle w:val="2"/>
        <w:keepNext w:val="0"/>
        <w:keepLines w:val="0"/>
        <w:widowControl/>
        <w:suppressLineNumbers w:val="0"/>
        <w:spacing w:before="452" w:beforeAutospacing="0" w:after="300" w:afterAutospacing="0" w:line="480" w:lineRule="atLeast"/>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fill="FFFFFF"/>
        </w:rPr>
        <w:t>  《储能大纲》主要包括通用部分质量监督和专用部分质量监督两部分内容。</w:t>
      </w:r>
    </w:p>
    <w:p>
      <w:pPr>
        <w:pStyle w:val="2"/>
        <w:keepNext w:val="0"/>
        <w:keepLines w:val="0"/>
        <w:widowControl/>
        <w:suppressLineNumbers w:val="0"/>
        <w:spacing w:before="452" w:beforeAutospacing="0" w:after="300" w:afterAutospacing="0" w:line="480" w:lineRule="atLeast"/>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fill="FFFFFF"/>
        </w:rPr>
        <w:t>  通用部分质量监督适用于各类新型储能电站建设工程，包括首次、地基处理、主厂房（变电站）主要设备安装前、厂用电（变电站）受电前、建筑工程交付使用前等质量监督内容，并按照建设时序设置监督阶段。</w:t>
      </w:r>
    </w:p>
    <w:p>
      <w:pPr>
        <w:pStyle w:val="2"/>
        <w:keepNext w:val="0"/>
        <w:keepLines w:val="0"/>
        <w:widowControl/>
        <w:suppressLineNumbers w:val="0"/>
        <w:spacing w:before="452" w:beforeAutospacing="0" w:after="300" w:afterAutospacing="0" w:line="480" w:lineRule="atLeast"/>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fill="FFFFFF"/>
        </w:rPr>
        <w:t>  专用部分质量监督根据工程类型分为电化学储能电站工程质量监督和压缩空气储能电站工程质量监督。专用部分质量监督设置必监节点，同时针对达到一定条件的相关工程的关键施工环节增设专项监督节点。第1篇电化学储能电站工程质量监督，设置电化学储能单元启动前1个必监节点，同时针对功率大于400兆瓦的电化学储能电站，增设电化学储能单元电池预制舱吊装前1个专项监督节点。第2篇压缩空气储能电站工程质量监督，设置地下储气库投用前、机组整套启动试运前2个必监节点，同时针对地下储气库储气容量大于等于30万立方米的压缩空气储能电站增设盐穴储气库排卤前、新建洞室储气库衬砌前等2个专项监督节点；针对膨胀机（压缩机）缸体采用非整体供货的工程增设膨胀机（压缩机）扣盖前1个专项监督节点。</w:t>
      </w:r>
    </w:p>
    <w:p>
      <w:pPr>
        <w:pStyle w:val="2"/>
        <w:keepNext w:val="0"/>
        <w:keepLines w:val="0"/>
        <w:widowControl/>
        <w:suppressLineNumbers w:val="0"/>
        <w:spacing w:before="452" w:beforeAutospacing="0" w:after="300" w:afterAutospacing="0" w:line="480" w:lineRule="atLeast"/>
        <w:ind w:left="0" w:right="0"/>
        <w:jc w:val="both"/>
        <w:rPr>
          <w:rStyle w:val="5"/>
          <w:rFonts w:hint="eastAsia" w:ascii="黑体" w:hAnsi="黑体" w:eastAsia="黑体" w:cs="黑体"/>
          <w:b w:val="0"/>
          <w:bCs w:val="0"/>
          <w:color w:val="333333"/>
          <w:sz w:val="32"/>
          <w:szCs w:val="32"/>
          <w:shd w:val="clear" w:fill="FFFFFF"/>
        </w:rPr>
      </w:pPr>
      <w:r>
        <w:rPr>
          <w:rStyle w:val="5"/>
          <w:rFonts w:hint="eastAsia" w:ascii="黑体" w:hAnsi="黑体" w:eastAsia="黑体" w:cs="黑体"/>
          <w:b w:val="0"/>
          <w:bCs w:val="0"/>
          <w:color w:val="333333"/>
          <w:sz w:val="32"/>
          <w:szCs w:val="32"/>
          <w:shd w:val="clear" w:fill="FFFFFF"/>
        </w:rPr>
        <w:t>  三、有关情况说明</w:t>
      </w:r>
    </w:p>
    <w:p>
      <w:pPr>
        <w:pStyle w:val="2"/>
        <w:keepNext w:val="0"/>
        <w:keepLines w:val="0"/>
        <w:widowControl/>
        <w:suppressLineNumbers w:val="0"/>
        <w:spacing w:before="452" w:beforeAutospacing="0" w:after="300" w:afterAutospacing="0" w:line="480" w:lineRule="atLeast"/>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fill="FFFFFF"/>
        </w:rPr>
        <w:t>  （一）关于适用范围</w:t>
      </w:r>
    </w:p>
    <w:p>
      <w:pPr>
        <w:pStyle w:val="2"/>
        <w:keepNext w:val="0"/>
        <w:keepLines w:val="0"/>
        <w:widowControl/>
        <w:suppressLineNumbers w:val="0"/>
        <w:spacing w:before="452" w:beforeAutospacing="0" w:after="300" w:afterAutospacing="0" w:line="480" w:lineRule="atLeast"/>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fill="FFFFFF"/>
        </w:rPr>
        <w:t>  根据我局电力安全监管范围及《电力建设工程质量监督管理暂行规定》差异化监督相关规定，综合考虑目前储能主流技术路线，将《储能大纲》的适用范围确定为：电力行业（电源侧和电网侧）功率100兆瓦及以上的电化学储能、压缩空气储能电站建设工程的质量监督，电力行业其他规模以及其他类型新型储能电站可参照执行。《储能大纲》不适用于用户侧储能电站建设工程。</w:t>
      </w:r>
    </w:p>
    <w:p>
      <w:pPr>
        <w:pStyle w:val="2"/>
        <w:keepNext w:val="0"/>
        <w:keepLines w:val="0"/>
        <w:widowControl/>
        <w:suppressLineNumbers w:val="0"/>
        <w:spacing w:before="452" w:beforeAutospacing="0" w:after="300" w:afterAutospacing="0" w:line="480" w:lineRule="atLeast"/>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fill="FFFFFF"/>
        </w:rPr>
        <w:t>  （二）关于质量监督依据</w:t>
      </w:r>
    </w:p>
    <w:p>
      <w:pPr>
        <w:pStyle w:val="2"/>
        <w:keepNext w:val="0"/>
        <w:keepLines w:val="0"/>
        <w:widowControl/>
        <w:suppressLineNumbers w:val="0"/>
        <w:spacing w:before="452" w:beforeAutospacing="0" w:after="300" w:afterAutospacing="0" w:line="480" w:lineRule="atLeast"/>
        <w:ind w:left="0" w:right="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fill="FFFFFF"/>
        </w:rPr>
        <w:t>  《储能大纲》质量监督条款除引用强制性规范外，部分条款还引用了国家和行业推荐性标准中涉及工程建设质量相关条款。对于施工验收、安装调试标准体系尚不完善的部分类型的新型储能电站建设工程，我们根据相关工程质量验收特点和实践经验，参考其他电力建设工程质量监督大纲，制定了相应质量监督条款。</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Glyphicons Halflings">
    <w:altName w:val="Segoe Print"/>
    <w:panose1 w:val="00000000000000000000"/>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87C6A"/>
    <w:rsid w:val="5DF8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sz w:val="20"/>
      <w:szCs w:val="20"/>
    </w:rPr>
  </w:style>
  <w:style w:type="character" w:styleId="6">
    <w:name w:val="FollowedHyperlink"/>
    <w:basedOn w:val="4"/>
    <w:uiPriority w:val="0"/>
    <w:rPr>
      <w:color w:val="333333"/>
      <w:u w:val="none"/>
    </w:rPr>
  </w:style>
  <w:style w:type="character" w:styleId="7">
    <w:name w:val="HTML Definition"/>
    <w:basedOn w:val="4"/>
    <w:uiPriority w:val="0"/>
    <w:rPr>
      <w:i/>
      <w:iCs/>
    </w:rPr>
  </w:style>
  <w:style w:type="character" w:styleId="8">
    <w:name w:val="Hyperlink"/>
    <w:basedOn w:val="4"/>
    <w:uiPriority w:val="0"/>
    <w:rPr>
      <w:color w:val="333333"/>
      <w:u w:val="none"/>
    </w:rPr>
  </w:style>
  <w:style w:type="character" w:styleId="9">
    <w:name w:val="HTML Code"/>
    <w:basedOn w:val="4"/>
    <w:uiPriority w:val="0"/>
    <w:rPr>
      <w:rFonts w:hint="default" w:ascii="Consolas" w:hAnsi="Consolas" w:eastAsia="Consolas" w:cs="Consolas"/>
      <w:color w:val="C7254E"/>
      <w:sz w:val="21"/>
      <w:szCs w:val="21"/>
      <w:bdr w:val="none" w:color="auto" w:sz="0" w:space="0"/>
      <w:shd w:val="clear" w:fill="F9F2F4"/>
    </w:rPr>
  </w:style>
  <w:style w:type="character" w:styleId="10">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1">
    <w:name w:val="HTML Sample"/>
    <w:basedOn w:val="4"/>
    <w:uiPriority w:val="0"/>
    <w:rPr>
      <w:rFonts w:ascii="Consolas" w:hAnsi="Consolas" w:eastAsia="Consolas" w:cs="Consolas"/>
      <w:sz w:val="21"/>
      <w:szCs w:val="21"/>
    </w:rPr>
  </w:style>
  <w:style w:type="character" w:customStyle="1" w:styleId="12">
    <w:name w:val="hover11"/>
    <w:basedOn w:val="4"/>
    <w:uiPriority w:val="0"/>
    <w:rPr>
      <w:color w:val="5FB878"/>
    </w:rPr>
  </w:style>
  <w:style w:type="character" w:customStyle="1" w:styleId="13">
    <w:name w:val="hover12"/>
    <w:basedOn w:val="4"/>
    <w:uiPriority w:val="0"/>
    <w:rPr>
      <w:color w:val="FFFFFF"/>
    </w:rPr>
  </w:style>
  <w:style w:type="character" w:customStyle="1" w:styleId="14">
    <w:name w:val="hover13"/>
    <w:basedOn w:val="4"/>
    <w:uiPriority w:val="0"/>
    <w:rPr>
      <w:color w:val="5FB878"/>
    </w:rPr>
  </w:style>
  <w:style w:type="character" w:customStyle="1" w:styleId="15">
    <w:name w:val="layui-laypage-curr"/>
    <w:basedOn w:val="4"/>
    <w:uiPriority w:val="0"/>
    <w:rPr>
      <w:bdr w:val="none" w:color="auto" w:sz="0" w:space="0"/>
    </w:rPr>
  </w:style>
  <w:style w:type="character" w:customStyle="1" w:styleId="16">
    <w:name w:val="layui-this4"/>
    <w:basedOn w:val="4"/>
    <w:uiPriority w:val="0"/>
    <w:rPr>
      <w:bdr w:val="single" w:color="EEEEEE" w:sz="6" w:space="0"/>
      <w:shd w:val="clear" w:fill="FFFFFF"/>
    </w:rPr>
  </w:style>
  <w:style w:type="character" w:customStyle="1" w:styleId="17">
    <w:name w:val="first-child"/>
    <w:basedOn w:val="4"/>
    <w:uiPriority w:val="0"/>
    <w:rPr>
      <w:bdr w:val="none" w:color="auto" w:sz="0" w:space="0"/>
    </w:rPr>
  </w:style>
  <w:style w:type="character" w:customStyle="1" w:styleId="18">
    <w:name w:val="fontsizespan1"/>
    <w:basedOn w:val="4"/>
    <w:uiPriority w:val="0"/>
    <w:rPr>
      <w:color w:val="2D8CF0"/>
      <w:bdr w:val="none" w:color="auto" w:sz="0" w:space="0"/>
      <w:shd w:val="clear" w:fill="F0FA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2026-05-18T00:48:00Z</dcterms:created>
  <dc:creator>admin</dc:creator>
  <cp:lastModifiedBy>admin</cp:lastModifiedBy>
  <dcterms:modified xsi:type="dcterms:W3CDTF">2026-05-18T00:49:57Z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5C2BFC501144407283BBAACA4F949DC1</vt:lpwstr>
  </property>
</Properties>
</file>